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F9389" w14:textId="77777777" w:rsidR="004B7DC0" w:rsidRDefault="009531E4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ASPP Mini-Grant Application Review</w:t>
      </w:r>
    </w:p>
    <w:p w14:paraId="33BBC6BD" w14:textId="77777777" w:rsidR="004B7DC0" w:rsidRDefault="009531E4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5C3FD94" w14:textId="77777777" w:rsidR="004B7DC0" w:rsidRDefault="009531E4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Primary Applicant:  </w:t>
      </w:r>
      <w:r>
        <w:rPr>
          <w:rFonts w:ascii="Cambria" w:eastAsia="Cambria" w:hAnsi="Cambria" w:cs="Cambria"/>
          <w:sz w:val="24"/>
          <w:szCs w:val="24"/>
          <w:u w:val="single"/>
        </w:rPr>
        <w:t xml:space="preserve">                      </w:t>
      </w:r>
      <w:r>
        <w:rPr>
          <w:rFonts w:ascii="Cambria" w:eastAsia="Cambria" w:hAnsi="Cambria" w:cs="Cambria"/>
          <w:sz w:val="24"/>
          <w:szCs w:val="24"/>
        </w:rPr>
        <w:t xml:space="preserve">              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Title:  </w:t>
      </w:r>
    </w:p>
    <w:p w14:paraId="0AE3E418" w14:textId="77777777" w:rsidR="004B7DC0" w:rsidRDefault="004B7DC0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63B23193" w14:textId="3B44F2F4" w:rsidR="004B7DC0" w:rsidRDefault="009531E4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Reviewer:                        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Review Period:  </w:t>
      </w:r>
      <w:r w:rsidR="00494DE1">
        <w:rPr>
          <w:rFonts w:ascii="Cambria" w:eastAsia="Cambria" w:hAnsi="Cambria" w:cs="Cambria"/>
          <w:sz w:val="24"/>
          <w:szCs w:val="24"/>
        </w:rPr>
        <w:tab/>
        <w:t xml:space="preserve">January </w:t>
      </w:r>
      <w:r w:rsidR="00D81BB9">
        <w:rPr>
          <w:rFonts w:ascii="Cambria" w:eastAsia="Cambria" w:hAnsi="Cambria" w:cs="Cambria"/>
          <w:sz w:val="24"/>
          <w:szCs w:val="24"/>
        </w:rPr>
        <w:t>30</w:t>
      </w:r>
      <w:r w:rsidR="00494DE1" w:rsidRPr="00494DE1">
        <w:rPr>
          <w:rFonts w:ascii="Cambria" w:eastAsia="Cambria" w:hAnsi="Cambria" w:cs="Cambria"/>
          <w:sz w:val="24"/>
          <w:szCs w:val="24"/>
          <w:vertAlign w:val="superscript"/>
        </w:rPr>
        <w:t>th</w:t>
      </w:r>
      <w:r w:rsidR="00494DE1">
        <w:rPr>
          <w:rFonts w:ascii="Cambria" w:eastAsia="Cambria" w:hAnsi="Cambria" w:cs="Cambria"/>
          <w:sz w:val="24"/>
          <w:szCs w:val="24"/>
        </w:rPr>
        <w:tab/>
      </w:r>
      <w:r w:rsidR="00494DE1">
        <w:rPr>
          <w:rFonts w:ascii="Cambria" w:eastAsia="Cambria" w:hAnsi="Cambria" w:cs="Cambria"/>
          <w:sz w:val="24"/>
          <w:szCs w:val="24"/>
        </w:rPr>
        <w:tab/>
        <w:t>September 30</w:t>
      </w:r>
      <w:r w:rsidR="00494DE1" w:rsidRPr="00494DE1">
        <w:rPr>
          <w:rFonts w:ascii="Cambria" w:eastAsia="Cambria" w:hAnsi="Cambria" w:cs="Cambria"/>
          <w:sz w:val="24"/>
          <w:szCs w:val="24"/>
          <w:vertAlign w:val="superscript"/>
        </w:rPr>
        <w:t>th</w:t>
      </w:r>
      <w:r w:rsidR="00494DE1">
        <w:rPr>
          <w:rFonts w:ascii="Cambria" w:eastAsia="Cambria" w:hAnsi="Cambria" w:cs="Cambria"/>
          <w:sz w:val="24"/>
          <w:szCs w:val="24"/>
        </w:rPr>
        <w:t xml:space="preserve"> </w:t>
      </w:r>
    </w:p>
    <w:p w14:paraId="4624D1D5" w14:textId="77777777" w:rsidR="004B7DC0" w:rsidRDefault="009531E4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tbl>
      <w:tblPr>
        <w:tblStyle w:val="a"/>
        <w:tblW w:w="1273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0"/>
        <w:gridCol w:w="2635"/>
        <w:gridCol w:w="3000"/>
        <w:gridCol w:w="2550"/>
        <w:gridCol w:w="1365"/>
        <w:gridCol w:w="1125"/>
      </w:tblGrid>
      <w:tr w:rsidR="004B7DC0" w14:paraId="4186B114" w14:textId="77777777" w:rsidTr="00342C1F">
        <w:trPr>
          <w:jc w:val="center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2B4C5" w14:textId="77777777" w:rsidR="004B7DC0" w:rsidRDefault="009531E4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  <w:shd w:val="clear" w:color="auto" w:fill="D9D9D9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shd w:val="clear" w:color="auto" w:fill="D9D9D9"/>
              </w:rPr>
              <w:t>Criterion</w:t>
            </w:r>
          </w:p>
        </w:tc>
        <w:tc>
          <w:tcPr>
            <w:tcW w:w="2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D9B9E" w14:textId="77777777" w:rsidR="004B7DC0" w:rsidRDefault="009531E4">
            <w:pPr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shd w:val="clear" w:color="auto" w:fill="D9D9D9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shd w:val="clear" w:color="auto" w:fill="D9D9D9"/>
              </w:rPr>
              <w:t>2</w:t>
            </w:r>
          </w:p>
        </w:tc>
        <w:tc>
          <w:tcPr>
            <w:tcW w:w="30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7E321" w14:textId="77777777" w:rsidR="004B7DC0" w:rsidRDefault="009531E4">
            <w:pPr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shd w:val="clear" w:color="auto" w:fill="D9D9D9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shd w:val="clear" w:color="auto" w:fill="D9D9D9"/>
              </w:rPr>
              <w:t>1</w:t>
            </w:r>
          </w:p>
        </w:tc>
        <w:tc>
          <w:tcPr>
            <w:tcW w:w="25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11D97" w14:textId="77777777" w:rsidR="004B7DC0" w:rsidRDefault="009531E4">
            <w:pPr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shd w:val="clear" w:color="auto" w:fill="D9D9D9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shd w:val="clear" w:color="auto" w:fill="D9D9D9"/>
              </w:rPr>
              <w:t>0</w:t>
            </w:r>
          </w:p>
        </w:tc>
        <w:tc>
          <w:tcPr>
            <w:tcW w:w="13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8F0F7" w14:textId="77777777" w:rsidR="004B7DC0" w:rsidRDefault="009531E4">
            <w:pPr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shd w:val="clear" w:color="auto" w:fill="D9D9D9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shd w:val="clear" w:color="auto" w:fill="D9D9D9"/>
              </w:rPr>
              <w:t>Multiplier</w:t>
            </w:r>
          </w:p>
        </w:tc>
        <w:tc>
          <w:tcPr>
            <w:tcW w:w="11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1012C" w14:textId="77777777" w:rsidR="004B7DC0" w:rsidRDefault="009531E4">
            <w:pPr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shd w:val="clear" w:color="auto" w:fill="D9D9D9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shd w:val="clear" w:color="auto" w:fill="D9D9D9"/>
              </w:rPr>
              <w:t>Total</w:t>
            </w:r>
          </w:p>
        </w:tc>
      </w:tr>
      <w:tr w:rsidR="00C0443F" w14:paraId="0E9F8164" w14:textId="77777777" w:rsidTr="00342C1F">
        <w:trPr>
          <w:jc w:val="center"/>
        </w:trPr>
        <w:tc>
          <w:tcPr>
            <w:tcW w:w="2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980F3" w14:textId="4A947E5B" w:rsidR="00C0443F" w:rsidRDefault="00EF1CE9" w:rsidP="00C0443F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Significance/ Implications for the Field of School Psychology</w:t>
            </w:r>
          </w:p>
        </w:tc>
        <w:tc>
          <w:tcPr>
            <w:tcW w:w="2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4BD39" w14:textId="292E30A2" w:rsidR="00C0443F" w:rsidRDefault="00EF1CE9" w:rsidP="00C0443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Enhances/expands the practice of school psychology</w:t>
            </w:r>
          </w:p>
        </w:tc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C1078" w14:textId="3A55392A" w:rsidR="00C0443F" w:rsidRDefault="00EF1CE9" w:rsidP="00C0443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Relevant to the field of School Psychology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0A07C" w14:textId="59AC9810" w:rsidR="00C0443F" w:rsidRDefault="00EF1CE9" w:rsidP="00C0443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Little to no relevance to the field of school psychology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9AD88" w14:textId="6A89B6F1" w:rsidR="00C0443F" w:rsidRDefault="00EF1CE9" w:rsidP="00C0443F">
            <w:pP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X 3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3173F" w14:textId="6E84B16D" w:rsidR="00C0443F" w:rsidRDefault="00C0443F" w:rsidP="00C0443F">
            <w:pP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C0443F" w14:paraId="008C3EE8" w14:textId="77777777" w:rsidTr="00342C1F">
        <w:trPr>
          <w:jc w:val="center"/>
        </w:trPr>
        <w:tc>
          <w:tcPr>
            <w:tcW w:w="2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B3C3E" w14:textId="651CE389" w:rsidR="00C0443F" w:rsidRDefault="008327AB" w:rsidP="00C0443F">
            <w:pPr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Alignment with the NASP Practice Model</w:t>
            </w:r>
          </w:p>
        </w:tc>
        <w:tc>
          <w:tcPr>
            <w:tcW w:w="2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30BE7" w14:textId="1933D19D" w:rsidR="00C0443F" w:rsidRDefault="008327AB" w:rsidP="00C0443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Extremely relevant to the NASP Practice Model</w:t>
            </w:r>
          </w:p>
        </w:tc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C51F9" w14:textId="498A69F8" w:rsidR="00C0443F" w:rsidRDefault="008327AB" w:rsidP="00C0443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Somewhat relevant to the NASP Practice Model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161A6" w14:textId="523EBF34" w:rsidR="00C0443F" w:rsidRDefault="008327AB" w:rsidP="00C0443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Little to no relevance to the NASP Practice Model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BECE1" w14:textId="6D631731" w:rsidR="00C0443F" w:rsidRDefault="008327AB" w:rsidP="00C0443F">
            <w:pP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X 2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B49D4" w14:textId="61AB3BB2" w:rsidR="00C0443F" w:rsidRDefault="00C0443F" w:rsidP="00C0443F">
            <w:pP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C0443F" w14:paraId="17A67E07" w14:textId="77777777" w:rsidTr="00342C1F">
        <w:trPr>
          <w:jc w:val="center"/>
        </w:trPr>
        <w:tc>
          <w:tcPr>
            <w:tcW w:w="2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3D049" w14:textId="735776DF" w:rsidR="00C0443F" w:rsidRDefault="00854739" w:rsidP="00C0443F">
            <w:pPr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Necessity and Reasonableness of Budget</w:t>
            </w:r>
          </w:p>
        </w:tc>
        <w:tc>
          <w:tcPr>
            <w:tcW w:w="2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A4F44" w14:textId="08462C8C" w:rsidR="00C0443F" w:rsidRDefault="00C0443F" w:rsidP="00C0443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Necessity and reasonableness of costs are clearly outlined and explained</w:t>
            </w:r>
          </w:p>
        </w:tc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FE03C" w14:textId="0162DB7B" w:rsidR="00C0443F" w:rsidRDefault="00C0443F" w:rsidP="00C0443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Justification is provided and acceptable, but includes some unnecessary items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A334B" w14:textId="6652D931" w:rsidR="00C0443F" w:rsidRDefault="00C0443F" w:rsidP="00C0443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Justification for budget items is not included and/or costs are inaccurate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E8163" w14:textId="5B4010DC" w:rsidR="00C0443F" w:rsidRDefault="00C0443F" w:rsidP="00C0443F">
            <w:pP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X1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69532" w14:textId="77777777" w:rsidR="00C0443F" w:rsidRDefault="00C0443F" w:rsidP="00C0443F">
            <w:pP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C0443F" w14:paraId="53195CFC" w14:textId="77777777">
        <w:trPr>
          <w:jc w:val="center"/>
        </w:trPr>
        <w:tc>
          <w:tcPr>
            <w:tcW w:w="1161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8C277" w14:textId="3E8D71F4" w:rsidR="00C0443F" w:rsidRDefault="00C0443F" w:rsidP="001B448F">
            <w:pPr>
              <w:spacing w:line="240" w:lineRule="auto"/>
              <w:jc w:val="right"/>
              <w:rPr>
                <w:rFonts w:ascii="Cambria" w:eastAsia="Cambria" w:hAnsi="Cambria" w:cs="Cambria"/>
                <w:b/>
                <w:sz w:val="24"/>
                <w:szCs w:val="24"/>
                <w:shd w:val="clear" w:color="auto" w:fill="D9D9D9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shd w:val="clear" w:color="auto" w:fill="D9D9D9"/>
              </w:rPr>
              <w:t xml:space="preserve">Grand Total (Maximum of </w:t>
            </w:r>
            <w:r w:rsidR="001B448F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D9D9D9"/>
              </w:rPr>
              <w:t>12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shd w:val="clear" w:color="auto" w:fill="D9D9D9"/>
              </w:rPr>
              <w:t>)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95546" w14:textId="77777777" w:rsidR="00C0443F" w:rsidRDefault="00C0443F" w:rsidP="00C0443F">
            <w:pPr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</w:tbl>
    <w:p w14:paraId="0F110172" w14:textId="77777777" w:rsidR="004B7DC0" w:rsidRDefault="009531E4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A73BCD9" w14:textId="749B238A" w:rsidR="000C7A13" w:rsidRDefault="000C7A1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The applicant is (circle one):  student </w:t>
      </w:r>
      <w:proofErr w:type="gramStart"/>
      <w:r>
        <w:rPr>
          <w:rFonts w:ascii="Cambria" w:eastAsia="Cambria" w:hAnsi="Cambria" w:cs="Cambria"/>
          <w:sz w:val="24"/>
          <w:szCs w:val="24"/>
        </w:rPr>
        <w:t>/  faculty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 /  practicing school psychologist  /  organization</w:t>
      </w:r>
    </w:p>
    <w:p w14:paraId="1A713A59" w14:textId="1CA2BE85" w:rsidR="00726C36" w:rsidRPr="00B46D78" w:rsidRDefault="00726C36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 w:rsidRPr="00B46D78">
        <w:rPr>
          <w:rFonts w:ascii="Cambria" w:eastAsia="Cambria" w:hAnsi="Cambria" w:cs="Cambria"/>
          <w:sz w:val="24"/>
          <w:szCs w:val="24"/>
        </w:rPr>
        <w:t xml:space="preserve">The </w:t>
      </w:r>
      <w:r w:rsidR="00B10326" w:rsidRPr="00B46D78">
        <w:rPr>
          <w:rFonts w:ascii="Cambria" w:eastAsia="Cambria" w:hAnsi="Cambria" w:cs="Cambria"/>
          <w:sz w:val="24"/>
          <w:szCs w:val="24"/>
        </w:rPr>
        <w:t xml:space="preserve">individual </w:t>
      </w:r>
      <w:r w:rsidRPr="00B46D78">
        <w:rPr>
          <w:rFonts w:ascii="Cambria" w:eastAsia="Cambria" w:hAnsi="Cambria" w:cs="Cambria"/>
          <w:sz w:val="24"/>
          <w:szCs w:val="24"/>
        </w:rPr>
        <w:t>applicant is an ASPP member</w:t>
      </w:r>
      <w:r w:rsidR="00B10326" w:rsidRPr="00B46D78">
        <w:rPr>
          <w:rFonts w:ascii="Cambria" w:eastAsia="Cambria" w:hAnsi="Cambria" w:cs="Cambria"/>
          <w:sz w:val="24"/>
          <w:szCs w:val="24"/>
        </w:rPr>
        <w:t>/the organizational applicant has ASPP members</w:t>
      </w:r>
      <w:r w:rsidRPr="00B46D78">
        <w:rPr>
          <w:rFonts w:ascii="Cambria" w:eastAsia="Cambria" w:hAnsi="Cambria" w:cs="Cambria"/>
          <w:sz w:val="24"/>
          <w:szCs w:val="24"/>
        </w:rPr>
        <w:t xml:space="preserve"> (check</w:t>
      </w:r>
      <w:r w:rsidR="008968BB" w:rsidRPr="00B46D78">
        <w:rPr>
          <w:rFonts w:ascii="Cambria" w:eastAsia="Cambria" w:hAnsi="Cambria" w:cs="Cambria"/>
          <w:sz w:val="24"/>
          <w:szCs w:val="24"/>
        </w:rPr>
        <w:t xml:space="preserve"> and provide #, if relevant</w:t>
      </w:r>
      <w:r w:rsidRPr="00B46D78">
        <w:rPr>
          <w:rFonts w:ascii="Cambria" w:eastAsia="Cambria" w:hAnsi="Cambria" w:cs="Cambria"/>
          <w:sz w:val="24"/>
          <w:szCs w:val="24"/>
        </w:rPr>
        <w:t>)</w:t>
      </w:r>
      <w:r w:rsidR="009B3CFF" w:rsidRPr="00B46D78">
        <w:rPr>
          <w:rFonts w:ascii="Cambria" w:eastAsia="Cambria" w:hAnsi="Cambria" w:cs="Cambria"/>
          <w:sz w:val="24"/>
          <w:szCs w:val="24"/>
        </w:rPr>
        <w:t>:  ___________</w:t>
      </w:r>
    </w:p>
    <w:p w14:paraId="04D82A33" w14:textId="58BE9A56" w:rsidR="00726C36" w:rsidRDefault="000C7A1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 w:rsidRPr="00B46D78">
        <w:rPr>
          <w:rFonts w:ascii="Cambria" w:eastAsia="Cambria" w:hAnsi="Cambria" w:cs="Cambria"/>
          <w:sz w:val="24"/>
          <w:szCs w:val="24"/>
        </w:rPr>
        <w:t>The applicant practices, delivers services, and/or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E31F13">
        <w:rPr>
          <w:rFonts w:ascii="Cambria" w:eastAsia="Cambria" w:hAnsi="Cambria" w:cs="Cambria"/>
          <w:sz w:val="24"/>
          <w:szCs w:val="24"/>
        </w:rPr>
        <w:t xml:space="preserve">attends graduate school </w:t>
      </w:r>
      <w:r w:rsidR="00726C36">
        <w:rPr>
          <w:rFonts w:ascii="Cambria" w:eastAsia="Cambria" w:hAnsi="Cambria" w:cs="Cambria"/>
          <w:sz w:val="24"/>
          <w:szCs w:val="24"/>
        </w:rPr>
        <w:t>in Pennsylvania (check)</w:t>
      </w:r>
      <w:r w:rsidR="009B3CFF">
        <w:rPr>
          <w:rFonts w:ascii="Cambria" w:eastAsia="Cambria" w:hAnsi="Cambria" w:cs="Cambria"/>
          <w:sz w:val="24"/>
          <w:szCs w:val="24"/>
        </w:rPr>
        <w:t>:  ___________</w:t>
      </w:r>
    </w:p>
    <w:p w14:paraId="73D78D0A" w14:textId="77777777" w:rsidR="004B7DC0" w:rsidRDefault="004B7DC0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2F4AA069" w14:textId="340F7978" w:rsidR="004B7DC0" w:rsidRDefault="009531E4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Each member of </w:t>
      </w:r>
      <w:r w:rsidR="0026201B">
        <w:rPr>
          <w:rFonts w:ascii="Cambria" w:eastAsia="Cambria" w:hAnsi="Cambria" w:cs="Cambria"/>
          <w:sz w:val="24"/>
          <w:szCs w:val="24"/>
        </w:rPr>
        <w:t xml:space="preserve">the ASPP Proposal Review </w:t>
      </w:r>
      <w:r>
        <w:rPr>
          <w:rFonts w:ascii="Cambria" w:eastAsia="Cambria" w:hAnsi="Cambria" w:cs="Cambria"/>
          <w:sz w:val="24"/>
          <w:szCs w:val="24"/>
        </w:rPr>
        <w:t>Committee will independently review all complete applications and submit totals to</w:t>
      </w:r>
      <w:r w:rsidR="001B6E23">
        <w:rPr>
          <w:rFonts w:ascii="Cambria" w:eastAsia="Cambria" w:hAnsi="Cambria" w:cs="Cambria"/>
          <w:sz w:val="24"/>
          <w:szCs w:val="24"/>
        </w:rPr>
        <w:t xml:space="preserve"> the Review</w:t>
      </w:r>
      <w:r w:rsidR="00A321C1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Committee Chair.  The Committee Chair will aggregate the data, compute an average score for each application, and provide the subsequent rankings to </w:t>
      </w:r>
      <w:r w:rsidR="00F63FF0">
        <w:rPr>
          <w:rFonts w:ascii="Cambria" w:eastAsia="Cambria" w:hAnsi="Cambria" w:cs="Cambria"/>
          <w:sz w:val="24"/>
          <w:szCs w:val="24"/>
        </w:rPr>
        <w:t xml:space="preserve">the </w:t>
      </w:r>
      <w:r w:rsidR="00D44C63">
        <w:rPr>
          <w:rFonts w:ascii="Cambria" w:eastAsia="Cambria" w:hAnsi="Cambria" w:cs="Cambria"/>
          <w:sz w:val="24"/>
          <w:szCs w:val="24"/>
        </w:rPr>
        <w:t>full Review Committee</w:t>
      </w:r>
      <w:bookmarkStart w:id="0" w:name="_GoBack"/>
      <w:bookmarkEnd w:id="0"/>
      <w:r w:rsidR="00F63FF0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 final deliberation and endorsement.  Applicants will be notified of the status of their application</w:t>
      </w:r>
      <w:r w:rsidR="000A0DD0"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within </w:t>
      </w:r>
      <w:r w:rsidR="000A0DD0">
        <w:rPr>
          <w:rFonts w:ascii="Cambria" w:eastAsia="Cambria" w:hAnsi="Cambria" w:cs="Cambria"/>
          <w:sz w:val="24"/>
          <w:szCs w:val="24"/>
        </w:rPr>
        <w:t>3 weeks of the application due date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5CF8A5A6" w14:textId="77777777" w:rsidR="004B7DC0" w:rsidRDefault="009531E4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14:paraId="49F7B269" w14:textId="77777777" w:rsidR="004B7DC0" w:rsidRDefault="004B7DC0"/>
    <w:sectPr w:rsidR="004B7DC0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DC0"/>
    <w:rsid w:val="0000743B"/>
    <w:rsid w:val="000A0DD0"/>
    <w:rsid w:val="000C7A13"/>
    <w:rsid w:val="001B448F"/>
    <w:rsid w:val="001B6E23"/>
    <w:rsid w:val="001C6EC7"/>
    <w:rsid w:val="00213080"/>
    <w:rsid w:val="0026201B"/>
    <w:rsid w:val="00275E9E"/>
    <w:rsid w:val="0032534C"/>
    <w:rsid w:val="00342C1F"/>
    <w:rsid w:val="003E1F14"/>
    <w:rsid w:val="004757D7"/>
    <w:rsid w:val="00494DE1"/>
    <w:rsid w:val="004B7DC0"/>
    <w:rsid w:val="004C446F"/>
    <w:rsid w:val="0056060C"/>
    <w:rsid w:val="0057049B"/>
    <w:rsid w:val="005D7E19"/>
    <w:rsid w:val="006621AE"/>
    <w:rsid w:val="00696248"/>
    <w:rsid w:val="006A48B6"/>
    <w:rsid w:val="00726C36"/>
    <w:rsid w:val="008327AB"/>
    <w:rsid w:val="008472EF"/>
    <w:rsid w:val="00854739"/>
    <w:rsid w:val="008968BB"/>
    <w:rsid w:val="008D7A14"/>
    <w:rsid w:val="009531E4"/>
    <w:rsid w:val="00976D7A"/>
    <w:rsid w:val="009B3CFF"/>
    <w:rsid w:val="00A321C1"/>
    <w:rsid w:val="00AC2950"/>
    <w:rsid w:val="00AD2F3F"/>
    <w:rsid w:val="00B10326"/>
    <w:rsid w:val="00B26F2E"/>
    <w:rsid w:val="00B46D78"/>
    <w:rsid w:val="00C0443F"/>
    <w:rsid w:val="00C3060C"/>
    <w:rsid w:val="00D44C63"/>
    <w:rsid w:val="00D81BB9"/>
    <w:rsid w:val="00DB2DC5"/>
    <w:rsid w:val="00E31F13"/>
    <w:rsid w:val="00E451AC"/>
    <w:rsid w:val="00EF1CE9"/>
    <w:rsid w:val="00F63FF0"/>
    <w:rsid w:val="00F93B80"/>
    <w:rsid w:val="00FA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09AC4"/>
  <w15:docId w15:val="{4957BFDC-E3FC-4119-B461-6DB980B0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C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C3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F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Department of Human Services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Rosen, Perri</dc:creator>
  <cp:lastModifiedBy>Perri Rosen</cp:lastModifiedBy>
  <cp:revision>28</cp:revision>
  <dcterms:created xsi:type="dcterms:W3CDTF">2017-08-24T02:34:00Z</dcterms:created>
  <dcterms:modified xsi:type="dcterms:W3CDTF">2019-02-21T00:40:00Z</dcterms:modified>
</cp:coreProperties>
</file>